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2E5" w:rsidRDefault="003B52E5">
      <w:pPr>
        <w:pStyle w:val="ConsPlusTitlePage"/>
      </w:pPr>
      <w:bookmarkStart w:id="0" w:name="_GoBack"/>
      <w:bookmarkEnd w:id="0"/>
      <w:r>
        <w:br/>
      </w:r>
    </w:p>
    <w:p w:rsidR="003B52E5" w:rsidRDefault="003B52E5">
      <w:pPr>
        <w:pStyle w:val="ConsPlusNormal"/>
        <w:jc w:val="both"/>
        <w:outlineLvl w:val="0"/>
      </w:pPr>
    </w:p>
    <w:p w:rsidR="003B52E5" w:rsidRDefault="003B52E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B52E5" w:rsidRDefault="003B52E5">
      <w:pPr>
        <w:pStyle w:val="ConsPlusTitle"/>
        <w:jc w:val="center"/>
      </w:pPr>
    </w:p>
    <w:p w:rsidR="003B52E5" w:rsidRDefault="003B52E5">
      <w:pPr>
        <w:pStyle w:val="ConsPlusTitle"/>
        <w:jc w:val="center"/>
      </w:pPr>
      <w:r>
        <w:t>ПОСТАНОВЛЕНИЕ</w:t>
      </w:r>
    </w:p>
    <w:p w:rsidR="003B52E5" w:rsidRDefault="003B52E5">
      <w:pPr>
        <w:pStyle w:val="ConsPlusTitle"/>
        <w:jc w:val="center"/>
      </w:pPr>
      <w:r>
        <w:t>от 29 июля 2020 г. N 1134</w:t>
      </w:r>
    </w:p>
    <w:p w:rsidR="003B52E5" w:rsidRDefault="003B52E5">
      <w:pPr>
        <w:pStyle w:val="ConsPlusTitle"/>
        <w:jc w:val="center"/>
      </w:pPr>
    </w:p>
    <w:p w:rsidR="003B52E5" w:rsidRDefault="003B52E5">
      <w:pPr>
        <w:pStyle w:val="ConsPlusTitle"/>
        <w:jc w:val="center"/>
      </w:pPr>
      <w:r>
        <w:t>ОБ УТВЕРЖДЕНИИ ПОЛОЖЕНИЯ</w:t>
      </w:r>
    </w:p>
    <w:p w:rsidR="003B52E5" w:rsidRDefault="003B52E5">
      <w:pPr>
        <w:pStyle w:val="ConsPlusTitle"/>
        <w:jc w:val="center"/>
      </w:pPr>
      <w:r>
        <w:t>О ВЕДЕНИИ ЕДИНОЙ АВТОМАТИЗИРОВАННОЙ ИНФОРМАЦИОННОЙ СИСТЕМЫ</w:t>
      </w:r>
    </w:p>
    <w:p w:rsidR="003B52E5" w:rsidRDefault="003B52E5">
      <w:pPr>
        <w:pStyle w:val="ConsPlusTitle"/>
        <w:jc w:val="center"/>
      </w:pPr>
      <w:r>
        <w:t>ТЕХНИЧЕСКОГО ОСМОТРА И ОБ ОРГАНИЗАЦИИ ВЗАИМОДЕЙСТВИЯ</w:t>
      </w:r>
    </w:p>
    <w:p w:rsidR="003B52E5" w:rsidRDefault="003B52E5">
      <w:pPr>
        <w:pStyle w:val="ConsPlusTitle"/>
        <w:jc w:val="center"/>
      </w:pPr>
      <w:r>
        <w:t>ПРИ ЕЕ ИСПОЛЬЗОВАНИИ</w:t>
      </w:r>
    </w:p>
    <w:p w:rsidR="003B52E5" w:rsidRDefault="003B52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B52E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2E5" w:rsidRDefault="003B52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2E5" w:rsidRDefault="003B52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B52E5" w:rsidRDefault="003B52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B52E5" w:rsidRDefault="003B52E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22.08.2024 </w:t>
            </w:r>
            <w:hyperlink r:id="rId5">
              <w:r>
                <w:rPr>
                  <w:color w:val="0000FF"/>
                </w:rPr>
                <w:t>N 1127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B52E5" w:rsidRDefault="003B52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02.06.2026 </w:t>
            </w:r>
            <w:hyperlink r:id="rId6">
              <w:r>
                <w:rPr>
                  <w:color w:val="0000FF"/>
                </w:rPr>
                <w:t>N 678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2E5" w:rsidRDefault="003B52E5">
            <w:pPr>
              <w:pStyle w:val="ConsPlusNormal"/>
            </w:pPr>
          </w:p>
        </w:tc>
      </w:tr>
    </w:tbl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частями 4.6</w:t>
        </w:r>
      </w:hyperlink>
      <w:r>
        <w:t xml:space="preserve">, </w:t>
      </w:r>
      <w:hyperlink r:id="rId8">
        <w:r>
          <w:rPr>
            <w:color w:val="0000FF"/>
          </w:rPr>
          <w:t>5</w:t>
        </w:r>
      </w:hyperlink>
      <w:r>
        <w:t xml:space="preserve"> и </w:t>
      </w:r>
      <w:hyperlink r:id="rId9">
        <w:r>
          <w:rPr>
            <w:color w:val="0000FF"/>
          </w:rPr>
          <w:t>6 статьи 12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2">
        <w:r>
          <w:rPr>
            <w:color w:val="0000FF"/>
          </w:rPr>
          <w:t>Положение</w:t>
        </w:r>
      </w:hyperlink>
      <w:r>
        <w:t xml:space="preserve"> о ведении единой автоматизированной информационной системы технического осмотра и об организации взаимодействия при ее использовании.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Реализация полномочий, предусмотренных </w:t>
      </w:r>
      <w:hyperlink w:anchor="P32">
        <w:r>
          <w:rPr>
            <w:color w:val="0000FF"/>
          </w:rPr>
          <w:t>Положением</w:t>
        </w:r>
      </w:hyperlink>
      <w:r>
        <w:t>, утвержденным настоящим постановлением, осуществляется Министерством внутренних дел Российской Федерации в пределах установленной предельной численности работников центрального аппарата и территориальных органов указанного Министерства и бюджетных ассигнований, предусмотренных ему в федеральном бюджете на руководство и управление в сфере установленных функций.</w:t>
      </w:r>
      <w:proofErr w:type="gramEnd"/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3. Настоящее постановление вступает в силу со дня вступления в силу Федерального </w:t>
      </w:r>
      <w:hyperlink r:id="rId10">
        <w:r>
          <w:rPr>
            <w:color w:val="0000FF"/>
          </w:rPr>
          <w:t>закона</w:t>
        </w:r>
      </w:hyperlink>
      <w:r>
        <w:t xml:space="preserve"> "О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Федерации".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right"/>
      </w:pPr>
      <w:r>
        <w:t>Председатель Правительства</w:t>
      </w:r>
    </w:p>
    <w:p w:rsidR="003B52E5" w:rsidRDefault="003B52E5">
      <w:pPr>
        <w:pStyle w:val="ConsPlusNormal"/>
        <w:jc w:val="right"/>
      </w:pPr>
      <w:r>
        <w:t>Российской Федерации</w:t>
      </w:r>
    </w:p>
    <w:p w:rsidR="003B52E5" w:rsidRDefault="003B52E5">
      <w:pPr>
        <w:pStyle w:val="ConsPlusNormal"/>
        <w:jc w:val="right"/>
      </w:pPr>
      <w:r>
        <w:t>М.МИШУСТИН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right"/>
        <w:outlineLvl w:val="0"/>
      </w:pPr>
      <w:r>
        <w:t>Утверждено</w:t>
      </w:r>
    </w:p>
    <w:p w:rsidR="003B52E5" w:rsidRDefault="003B52E5">
      <w:pPr>
        <w:pStyle w:val="ConsPlusNormal"/>
        <w:jc w:val="right"/>
      </w:pPr>
      <w:r>
        <w:t>постановлением Правительства</w:t>
      </w:r>
    </w:p>
    <w:p w:rsidR="003B52E5" w:rsidRDefault="003B52E5">
      <w:pPr>
        <w:pStyle w:val="ConsPlusNormal"/>
        <w:jc w:val="right"/>
      </w:pPr>
      <w:r>
        <w:t>Российской Федерации</w:t>
      </w:r>
    </w:p>
    <w:p w:rsidR="003B52E5" w:rsidRDefault="003B52E5">
      <w:pPr>
        <w:pStyle w:val="ConsPlusNormal"/>
        <w:jc w:val="right"/>
      </w:pPr>
      <w:r>
        <w:t>от 29 июля 2020 г. N 1134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Title"/>
        <w:jc w:val="center"/>
      </w:pPr>
      <w:bookmarkStart w:id="1" w:name="P32"/>
      <w:bookmarkEnd w:id="1"/>
      <w:r>
        <w:t>ПОЛОЖЕНИЕ</w:t>
      </w:r>
    </w:p>
    <w:p w:rsidR="003B52E5" w:rsidRDefault="003B52E5">
      <w:pPr>
        <w:pStyle w:val="ConsPlusTitle"/>
        <w:jc w:val="center"/>
      </w:pPr>
      <w:r>
        <w:t>О ВЕДЕНИИ ЕДИНОЙ АВТОМАТИЗИРОВАННОЙ ИНФОРМАЦИОННОЙ СИСТЕМЫ</w:t>
      </w:r>
    </w:p>
    <w:p w:rsidR="003B52E5" w:rsidRDefault="003B52E5">
      <w:pPr>
        <w:pStyle w:val="ConsPlusTitle"/>
        <w:jc w:val="center"/>
      </w:pPr>
      <w:r>
        <w:t>ТЕХНИЧЕСКОГО ОСМОТРА И ОБ ОРГАНИЗАЦИИ ВЗАИМОДЕЙСТВИЯ</w:t>
      </w:r>
    </w:p>
    <w:p w:rsidR="003B52E5" w:rsidRDefault="003B52E5">
      <w:pPr>
        <w:pStyle w:val="ConsPlusTitle"/>
        <w:jc w:val="center"/>
      </w:pPr>
      <w:r>
        <w:t>ПРИ ЕЕ ИСПОЛЬЗОВАНИИ</w:t>
      </w:r>
    </w:p>
    <w:p w:rsidR="003B52E5" w:rsidRDefault="003B52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B52E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2E5" w:rsidRDefault="003B52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2E5" w:rsidRDefault="003B52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B52E5" w:rsidRDefault="003B52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B52E5" w:rsidRDefault="003B52E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22.08.2024 </w:t>
            </w:r>
            <w:hyperlink r:id="rId11">
              <w:r>
                <w:rPr>
                  <w:color w:val="0000FF"/>
                </w:rPr>
                <w:t>N 1127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B52E5" w:rsidRDefault="003B52E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02.06.2026 </w:t>
            </w:r>
            <w:hyperlink r:id="rId12">
              <w:r>
                <w:rPr>
                  <w:color w:val="0000FF"/>
                </w:rPr>
                <w:t>N 678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52E5" w:rsidRDefault="003B52E5">
            <w:pPr>
              <w:pStyle w:val="ConsPlusNormal"/>
            </w:pPr>
          </w:p>
        </w:tc>
      </w:tr>
    </w:tbl>
    <w:p w:rsidR="003B52E5" w:rsidRDefault="003B52E5">
      <w:pPr>
        <w:pStyle w:val="ConsPlusNormal"/>
        <w:jc w:val="both"/>
      </w:pPr>
    </w:p>
    <w:p w:rsidR="003B52E5" w:rsidRDefault="003B52E5">
      <w:pPr>
        <w:pStyle w:val="ConsPlusTitle"/>
        <w:jc w:val="center"/>
        <w:outlineLvl w:val="1"/>
      </w:pPr>
      <w:r>
        <w:t>I. Общие положения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определяет правила ведения единой автоматизированной информационной системы технического осмотра транспортных средств (далее - система технического осмотра) (в том числе порядок и сроки передачи сведений в систему технического осмотра) и порядок взаимодействия федерального органа исполнительной власти, уполномоченного на осуществление федерального государственного контроля (надзора) в области безопасности дорожного движения (далее - орган государственного контроля), операторов технического осмотра и профессионального объединения страховщиков при</w:t>
      </w:r>
      <w:proofErr w:type="gramEnd"/>
      <w:r>
        <w:t xml:space="preserve"> </w:t>
      </w:r>
      <w:proofErr w:type="gramStart"/>
      <w:r>
        <w:t>использовании</w:t>
      </w:r>
      <w:proofErr w:type="gramEnd"/>
      <w:r>
        <w:t xml:space="preserve"> системы технического осмотра, в том числе с использованием единой системы межведомственного электронного взаимодействия.</w:t>
      </w:r>
    </w:p>
    <w:p w:rsidR="003B52E5" w:rsidRDefault="003B52E5">
      <w:pPr>
        <w:pStyle w:val="ConsPlusNormal"/>
        <w:jc w:val="both"/>
      </w:pPr>
      <w:r>
        <w:t xml:space="preserve">(в ред. Постановлений Правительства РФ от 22.08.2024 </w:t>
      </w:r>
      <w:hyperlink r:id="rId13">
        <w:r>
          <w:rPr>
            <w:color w:val="0000FF"/>
          </w:rPr>
          <w:t>N 1127</w:t>
        </w:r>
      </w:hyperlink>
      <w:r>
        <w:t xml:space="preserve">, от 02.06.2026 </w:t>
      </w:r>
      <w:hyperlink r:id="rId14">
        <w:r>
          <w:rPr>
            <w:color w:val="0000FF"/>
          </w:rPr>
          <w:t>N 678</w:t>
        </w:r>
      </w:hyperlink>
      <w:r>
        <w:t>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2. Эксплуатация системы технического осмотра осуществляется Министерством внутренних дел Российской Федерации (далее - оператор системы технического осмотра) в электронном виде с соблюдением требований, установленных законодательством Российской Федерации в области персональных данных, а также с применением стандартизированных технических и программных средств, </w:t>
      </w:r>
      <w:proofErr w:type="gramStart"/>
      <w:r>
        <w:t>позволяющих</w:t>
      </w:r>
      <w:proofErr w:type="gramEnd"/>
      <w:r>
        <w:t xml:space="preserve"> в том числе осуществлять обработку информации на основе использования единых форматов и стандартных протоколов.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Система технического осмотра является государственной информационной системой.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Информационное взаимодействие оператора системы технического осмотра, органа государственного контроля, операторов технического осмотра, профессионального объединения страховщиков и исполнительных органов государственной власти субъектов Российской Федерации (далее - участники информационного взаимодействия) при использовании системы технического осмотра осуществляется с применением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услуг и исполнения государственных функций в электронном виде, и ее компонентов.</w:t>
      </w:r>
      <w:proofErr w:type="gramEnd"/>
    </w:p>
    <w:p w:rsidR="003B52E5" w:rsidRDefault="003B52E5">
      <w:pPr>
        <w:pStyle w:val="ConsPlusNormal"/>
        <w:spacing w:before="220"/>
        <w:ind w:firstLine="540"/>
        <w:jc w:val="both"/>
      </w:pPr>
      <w:r>
        <w:t>4. Оператор системы технического осмотра обеспечивает техническую поддержку участникам информационного взаимодействия по вопросам работы системы технического осмотра.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Title"/>
        <w:jc w:val="center"/>
        <w:outlineLvl w:val="1"/>
      </w:pPr>
      <w:r>
        <w:t>II. Правила ведения системы технического осмотра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ind w:firstLine="540"/>
        <w:jc w:val="both"/>
      </w:pPr>
      <w:r>
        <w:t xml:space="preserve">5. Передаче в систему технического осмотра подлежат сведения, предусмотренные </w:t>
      </w:r>
      <w:hyperlink r:id="rId15">
        <w:r>
          <w:rPr>
            <w:color w:val="0000FF"/>
          </w:rPr>
          <w:t>частями 2</w:t>
        </w:r>
      </w:hyperlink>
      <w:r>
        <w:t xml:space="preserve"> и </w:t>
      </w:r>
      <w:hyperlink r:id="rId16">
        <w:r>
          <w:rPr>
            <w:color w:val="0000FF"/>
          </w:rPr>
          <w:t>3 статьи 12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Федерации", в сроки, предусмотренные </w:t>
      </w:r>
      <w:hyperlink r:id="rId17">
        <w:r>
          <w:rPr>
            <w:color w:val="0000FF"/>
          </w:rPr>
          <w:t>частями 4</w:t>
        </w:r>
      </w:hyperlink>
      <w:r>
        <w:t xml:space="preserve">, </w:t>
      </w:r>
      <w:hyperlink r:id="rId18">
        <w:r>
          <w:rPr>
            <w:color w:val="0000FF"/>
          </w:rPr>
          <w:t>4.2</w:t>
        </w:r>
      </w:hyperlink>
      <w:r>
        <w:t xml:space="preserve"> и </w:t>
      </w:r>
      <w:hyperlink r:id="rId19">
        <w:r>
          <w:rPr>
            <w:color w:val="0000FF"/>
          </w:rPr>
          <w:t>4.3 статьи 12</w:t>
        </w:r>
      </w:hyperlink>
      <w:r>
        <w:t xml:space="preserve"> указанного Федерального закона.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6. Система технического осмотра ведется на государственном языке Российской Федерации.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Размещение сведений в системе технического осмотра допускается с использованием букв латинского алфавита в указании наименования марки и модели транспортного средства, его идентификационного номера (VIN), номера кузова, номера шасси (рамы), а также адресов электронной почты и официального сайта оператора технического осмотра в информационно-телекоммуникационной сети "Интернет" (далее - сеть "Интернет").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lastRenderedPageBreak/>
        <w:t>7. При оформлении диагностической карты в системе технического осмотра ей присваивается уникальный регистрационный номер (повторное присвоение уникального регистрационного номера в системе технического осмотра не допускается).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8. В системе технического осмотра диагностической карте присваивается статус "действующая", "архивная" или "аннулированная".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Статус "действующая" присваивается диагностической карте при ее оформлении в системе технического осмотра по результатам проведения технического осмотра. Статус действует до истечения срока действия или изменения этого статуса на статус "архивная" или "аннулированная" в случаях, предусмотренных абзацами третьим и четвертым настоящего пункта.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Статус "архивная" присваивается диагностической карте в случаях истечения срока ее действия, оформления новой диагностической карты взамен такой диагностической карты по результатам проведения повторного технического осмотра или наличия ошибок оформления.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Статус "аннулированная" присваивается диагностической карте в случае принятия органом государственного контроля решения об аннулировании диагностической карты.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Диагностические карты, имеющие статус "архивная" или "аннулированная", доступны для предоставления из системы технического осмотра содержащихся в них сведений.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9. Оформленная в системе технического осмотра диагностическая карта хранится в системе технического осмотра не менее 5 лет. При этом в течение указанного срока обеспечивается невозможность ее уничтожения и изъятия.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В системе технического осмотра обеспечивается невозможность оформления диагностической карты в случае превышения значения пропускной способности соответствующего пункта технического осмотра, включенного в реестр операторов технического осмотра в соответствии с </w:t>
      </w:r>
      <w:hyperlink r:id="rId20">
        <w:r>
          <w:rPr>
            <w:color w:val="0000FF"/>
          </w:rPr>
          <w:t>частью 3 статьи 11.1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Федерации", более чем на 5 процентов.</w:t>
      </w:r>
      <w:proofErr w:type="gramEnd"/>
    </w:p>
    <w:p w:rsidR="003B52E5" w:rsidRDefault="003B52E5">
      <w:pPr>
        <w:pStyle w:val="ConsPlusNormal"/>
        <w:spacing w:before="220"/>
        <w:ind w:firstLine="540"/>
        <w:jc w:val="both"/>
      </w:pPr>
      <w:r>
        <w:t>11. Сведения, содержащиеся в системе технического осмотра, являются общедоступными, за исключением сведений, доступ к которым ограничен в соответствии с федеральными законами.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Сведения, содержащиеся в системе технического осмотра, размещаются оператором системы технического осмотра в сети "Интернет" и предоставляются в электронном виде по форме согласно </w:t>
      </w:r>
      <w:hyperlink w:anchor="P140">
        <w:r>
          <w:rPr>
            <w:color w:val="0000FF"/>
          </w:rPr>
          <w:t>приложению</w:t>
        </w:r>
      </w:hyperlink>
      <w:r>
        <w:t xml:space="preserve"> посредством: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официального сайта оператора системы технического осмотра в сети "Интернет" незамедлительно с момента получения (формирования) таких сведений;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личного кабинета физического лица в федеральной государственной информационной системе "Единый портал государственных и муниципальных услуг (функций)";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единой системы межведомственного электронного взаимодействия для обеспечения информационного взаимодействия с автоматизированной информационной системой страхования, созданной в соответствии с </w:t>
      </w:r>
      <w:hyperlink r:id="rId21">
        <w:r>
          <w:rPr>
            <w:color w:val="0000FF"/>
          </w:rPr>
          <w:t>главой IV.2</w:t>
        </w:r>
      </w:hyperlink>
      <w:r>
        <w:t xml:space="preserve"> Закона Российской Федерации "Об организации страхового дела в Российской Федерации";</w:t>
      </w:r>
    </w:p>
    <w:p w:rsidR="003B52E5" w:rsidRDefault="003B52E5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22.08.2024 N 1127)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единой системы межведомственного электронного взаимодействия и иных сре</w:t>
      </w:r>
      <w:proofErr w:type="gramStart"/>
      <w:r>
        <w:t>дств св</w:t>
      </w:r>
      <w:proofErr w:type="gramEnd"/>
      <w:r>
        <w:t>язи для обеспечения информационного взаимодействия с информационными системами органов государственной власти.</w:t>
      </w:r>
    </w:p>
    <w:p w:rsidR="003B52E5" w:rsidRDefault="003B52E5">
      <w:pPr>
        <w:pStyle w:val="ConsPlusNormal"/>
        <w:jc w:val="both"/>
      </w:pPr>
      <w:r>
        <w:lastRenderedPageBreak/>
        <w:t xml:space="preserve">(абзац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22.08.2024 N 1127)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12. Сведения, содержащиеся в системе технического осмотра, предоставляются на безвозмездной основе по запросу, содержащему информацию, позволяющую идентифицировать транспортное средство, в отношении которого проведен технический осмотр (идентификационный номер транспортного средства (VIN), номер кузова, номер шасси (рамы) транспортного средства).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Такие сведения являются актуальными на момент формирования данных из системы технического осмотра.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В системе технического осмотра обеспечивается сохранение сведений обо всех поступивших запросах и предоставленных по ним сведениях.</w:t>
      </w:r>
    </w:p>
    <w:p w:rsidR="003B52E5" w:rsidRDefault="003B52E5">
      <w:pPr>
        <w:pStyle w:val="ConsPlusNormal"/>
        <w:spacing w:before="220"/>
        <w:ind w:firstLine="540"/>
        <w:jc w:val="both"/>
      </w:pPr>
      <w:bookmarkStart w:id="2" w:name="P73"/>
      <w:bookmarkEnd w:id="2"/>
      <w:r>
        <w:t xml:space="preserve">12(1). </w:t>
      </w:r>
      <w:proofErr w:type="gramStart"/>
      <w:r>
        <w:t>Оператор системы технического осмотра приостанавливает доступ оператора технического осмотра к системе технического осмотра до принятия профессиональным объединением страховщиков решения об аннулировании аттестата аккредитации этого оператора технического осмотра на основании решения руководителя (заместителя руководителя) органа государственного контроля о приостановлении доступа оператора технического осмотра к системе технического осмотра, принятого в случае наличия у органа государственного контроля следующей информации:</w:t>
      </w:r>
      <w:proofErr w:type="gramEnd"/>
    </w:p>
    <w:p w:rsidR="003B52E5" w:rsidRDefault="003B52E5">
      <w:pPr>
        <w:pStyle w:val="ConsPlusNormal"/>
        <w:spacing w:before="220"/>
        <w:ind w:firstLine="540"/>
        <w:jc w:val="both"/>
      </w:pPr>
      <w:r>
        <w:t>а) о ликвидации юридического лица - оператора технического осмотра или о прекращении оператором технического осмотра деятельности в качестве индивидуального предпринимателя;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б) о двух и более зафиксированных в акте контрольного (надзорного) мероприятия фактах оформления оператором технического осмотра в течение 12 месяцев диагностической карты, подтверждающей допуск к участию в дорожном движении транспортного средства, в отношении которого не проводился технический осмотр в установленном порядке.</w:t>
      </w:r>
    </w:p>
    <w:p w:rsidR="003B52E5" w:rsidRDefault="003B52E5">
      <w:pPr>
        <w:pStyle w:val="ConsPlusNormal"/>
        <w:jc w:val="both"/>
      </w:pPr>
      <w:r>
        <w:t xml:space="preserve">(п. 12(1) </w:t>
      </w:r>
      <w:proofErr w:type="gramStart"/>
      <w:r>
        <w:t>введен</w:t>
      </w:r>
      <w:proofErr w:type="gramEnd"/>
      <w:r>
        <w:t xml:space="preserve">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12(2). </w:t>
      </w:r>
      <w:proofErr w:type="gramStart"/>
      <w:r>
        <w:t xml:space="preserve">Восстановление доступа оператора технического осмотра к системе технического осмотра, приостановленного с соответствии с </w:t>
      </w:r>
      <w:hyperlink w:anchor="P73">
        <w:r>
          <w:rPr>
            <w:color w:val="0000FF"/>
          </w:rPr>
          <w:t>пунктом 12(1)</w:t>
        </w:r>
      </w:hyperlink>
      <w:r>
        <w:t xml:space="preserve"> настоящего Положения, осуществляется оператором системы технического осмотра в течение одного рабочего дня после дня принятия любого из следующих решений:</w:t>
      </w:r>
      <w:proofErr w:type="gramEnd"/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решение, указанное в </w:t>
      </w:r>
      <w:hyperlink w:anchor="P122">
        <w:r>
          <w:rPr>
            <w:color w:val="0000FF"/>
          </w:rPr>
          <w:t>абзаце третьем пункта 27</w:t>
        </w:r>
      </w:hyperlink>
      <w:r>
        <w:t xml:space="preserve"> настоящего Положения;</w:t>
      </w:r>
    </w:p>
    <w:p w:rsidR="003B52E5" w:rsidRDefault="003B52E5">
      <w:pPr>
        <w:pStyle w:val="ConsPlusNormal"/>
        <w:spacing w:before="220"/>
        <w:ind w:firstLine="540"/>
        <w:jc w:val="both"/>
      </w:pPr>
      <w:proofErr w:type="gramStart"/>
      <w:r>
        <w:t xml:space="preserve">решение руководителя (заместителя руководителя) органа государственного контроля о восстановлении доступа оператора технического осмотра к системе технического осмотра, принятое в случае наличия у органа государственного контроля информации о нарушении требований </w:t>
      </w:r>
      <w:hyperlink w:anchor="P73">
        <w:r>
          <w:rPr>
            <w:color w:val="0000FF"/>
          </w:rPr>
          <w:t>пункта 12(1)</w:t>
        </w:r>
      </w:hyperlink>
      <w:r>
        <w:t xml:space="preserve"> настоящего Положения при принятии решения руководителем (заместителем руководителя) органа государственного контроля о приостановлении доступа оператора технического осмотра к системе технического осмотра.</w:t>
      </w:r>
      <w:proofErr w:type="gramEnd"/>
    </w:p>
    <w:p w:rsidR="003B52E5" w:rsidRDefault="003B52E5">
      <w:pPr>
        <w:pStyle w:val="ConsPlusNormal"/>
        <w:jc w:val="both"/>
      </w:pPr>
      <w:r>
        <w:t xml:space="preserve">(п. 12(2) </w:t>
      </w:r>
      <w:proofErr w:type="gramStart"/>
      <w:r>
        <w:t>введен</w:t>
      </w:r>
      <w:proofErr w:type="gramEnd"/>
      <w:r>
        <w:t xml:space="preserve">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Title"/>
        <w:jc w:val="center"/>
        <w:outlineLvl w:val="1"/>
      </w:pPr>
      <w:r>
        <w:t>III. Порядок взаимодействия системы технического осмотра</w:t>
      </w:r>
    </w:p>
    <w:p w:rsidR="003B52E5" w:rsidRDefault="003B52E5">
      <w:pPr>
        <w:pStyle w:val="ConsPlusTitle"/>
        <w:jc w:val="center"/>
      </w:pPr>
      <w:r>
        <w:t>с системой обязательного страхования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ind w:firstLine="540"/>
        <w:jc w:val="both"/>
      </w:pPr>
      <w:r>
        <w:t xml:space="preserve">Утратил силу с 1 октября 2024 года. - </w:t>
      </w:r>
      <w:hyperlink r:id="rId26">
        <w:r>
          <w:rPr>
            <w:color w:val="0000FF"/>
          </w:rPr>
          <w:t>Постановление</w:t>
        </w:r>
      </w:hyperlink>
      <w:r>
        <w:t xml:space="preserve"> Правительства РФ от 22.08.2024 N 1127.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Title"/>
        <w:jc w:val="center"/>
        <w:outlineLvl w:val="1"/>
      </w:pPr>
      <w:r>
        <w:t>IV. Порядок взаимодействия органа государственного</w:t>
      </w:r>
    </w:p>
    <w:p w:rsidR="003B52E5" w:rsidRDefault="003B52E5">
      <w:pPr>
        <w:pStyle w:val="ConsPlusTitle"/>
        <w:jc w:val="center"/>
      </w:pPr>
      <w:r>
        <w:t>контроля, операторов технического осмотра</w:t>
      </w:r>
    </w:p>
    <w:p w:rsidR="003B52E5" w:rsidRDefault="003B52E5">
      <w:pPr>
        <w:pStyle w:val="ConsPlusTitle"/>
        <w:jc w:val="center"/>
      </w:pPr>
      <w:r>
        <w:t>и профессионального объединения страховщиков</w:t>
      </w:r>
    </w:p>
    <w:p w:rsidR="003B52E5" w:rsidRDefault="003B52E5">
      <w:pPr>
        <w:pStyle w:val="ConsPlusTitle"/>
        <w:jc w:val="center"/>
      </w:pPr>
      <w:r>
        <w:t>при использовании системы технического осмотра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ind w:firstLine="540"/>
        <w:jc w:val="both"/>
      </w:pPr>
      <w:r>
        <w:t>16. В случае организации информационного взаимодействия органа государственного контроля, операторов технического осмотра и профессионального объединения страховщиков при использовании системы технического осмотра применяются квалифицированные сертификаты ключей проверки электронных подписей, выданных удостоверяющими центрами, аккредитованными уполномоченным Правительством Российской Федерации федеральным органом исполнительной власти в сфере использования электронной подписи.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17. Порядок взаимодействия органа государственного контроля с операторами технического осмотра при использовании системы технического осмотра включает в себя: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информирование оператора технического осмотра об аннулировании диагностической карты в личном кабинете оператора технического осмотра в системе технического осмотра;</w:t>
      </w:r>
    </w:p>
    <w:p w:rsidR="003B52E5" w:rsidRDefault="003B52E5">
      <w:pPr>
        <w:pStyle w:val="ConsPlusNormal"/>
        <w:spacing w:before="220"/>
        <w:ind w:firstLine="540"/>
        <w:jc w:val="both"/>
      </w:pPr>
      <w:proofErr w:type="gramStart"/>
      <w:r>
        <w:t xml:space="preserve">информирование оператора технического осмотра о невозможности проведения технического осмотра в отношении категорий транспортных средств, не включенных в область аккредитации оператора технического осмотра, или о невозможности оформления диагностической карты в случае, предусмотренном </w:t>
      </w:r>
      <w:hyperlink r:id="rId27">
        <w:r>
          <w:rPr>
            <w:color w:val="0000FF"/>
          </w:rPr>
          <w:t>частью 6 статьи 12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Федерации", при оформлении оператором технического осмотра новой диагностической карты</w:t>
      </w:r>
      <w:proofErr w:type="gramEnd"/>
      <w:r>
        <w:t xml:space="preserve"> в системе технического осмотра;</w:t>
      </w:r>
    </w:p>
    <w:p w:rsidR="003B52E5" w:rsidRDefault="003B52E5">
      <w:pPr>
        <w:pStyle w:val="ConsPlusNormal"/>
        <w:spacing w:before="220"/>
        <w:ind w:firstLine="540"/>
        <w:jc w:val="both"/>
      </w:pPr>
      <w:bookmarkStart w:id="3" w:name="P96"/>
      <w:bookmarkEnd w:id="3"/>
      <w:r>
        <w:t xml:space="preserve">информирование оператора технического осмотра </w:t>
      </w:r>
      <w:proofErr w:type="gramStart"/>
      <w:r>
        <w:t>о приостановлении доступа оператора технического осмотра к системе технического осмотра посредством направления решения о приостановлении доступа оператора технического осмотра к системе технического осмотра на адрес</w:t>
      </w:r>
      <w:proofErr w:type="gramEnd"/>
      <w:r>
        <w:t xml:space="preserve"> электронной почты или официальный сайт оператора технического осмотра в сети "Интернет", указанные в реестре операторов технического осмотра;</w:t>
      </w:r>
    </w:p>
    <w:p w:rsidR="003B52E5" w:rsidRDefault="003B52E5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взаимодействие с оператором технического осмотра в случае обжалования решения руководителя (заместителя руководителя) органа государственного контроля о приостановлении доступа оператора технического осмотра к системе технического осмотра, осуществляемого в соответствии с </w:t>
      </w:r>
      <w:hyperlink w:anchor="P108">
        <w:r>
          <w:rPr>
            <w:color w:val="0000FF"/>
          </w:rPr>
          <w:t>пунктами 22</w:t>
        </w:r>
      </w:hyperlink>
      <w:r>
        <w:t xml:space="preserve"> - </w:t>
      </w:r>
      <w:hyperlink w:anchor="P125">
        <w:r>
          <w:rPr>
            <w:color w:val="0000FF"/>
          </w:rPr>
          <w:t>28</w:t>
        </w:r>
      </w:hyperlink>
      <w:r>
        <w:t xml:space="preserve"> настоящего Положения.</w:t>
      </w:r>
    </w:p>
    <w:p w:rsidR="003B52E5" w:rsidRDefault="003B52E5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18. Орган государственного контроля с использованием системы технического осмотра направляет информацию об аннулировании диагностической карты профессиональному объединению страховщиков.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Информирование профессионального объединения страховщиков об аннулировании диагностической карты осуществляется с использованием единой системы межведомственного электронного взаимодействия.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19. Профессиональное объединение страховщиков взаимодействует с органом государственного контроля с использованием системы технического осмотра в части, касающейся: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ежедневного предоставления информации об операторах технического осмотра, внесенных в реестр операторов технического осмотра, а также об изменении этих сведений;</w:t>
      </w:r>
    </w:p>
    <w:p w:rsidR="003B52E5" w:rsidRDefault="003B52E5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22.08.2024 N 1127)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направления информации о приостановлении действия аттестатов аккредитации в сфере технического осмотра или о возобновлении их действия, а также об аннулировании таких аттестатов аккредитации.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20. Профессиональное объединение страховщиков направляет с использованием системы технического осмотра операторам технического осмотра информацию о приостановлении </w:t>
      </w:r>
      <w:r>
        <w:lastRenderedPageBreak/>
        <w:t>действия аттестатов аккредитации в сфере технического осмотра или о возобновлении их действия, а также об аннулировании таких аттестатов аккредитации.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21. Профессиональное объединение страховщиков осуществляет с использованием системы технического осмотра постоянное наблюдение за соблюдением операторами технического осмотра требований, предусмотренных </w:t>
      </w:r>
      <w:hyperlink r:id="rId31">
        <w:r>
          <w:rPr>
            <w:color w:val="0000FF"/>
          </w:rPr>
          <w:t>частью 10 статьи 22</w:t>
        </w:r>
      </w:hyperlink>
      <w:r>
        <w:t xml:space="preserve"> Федерального закона "О техническом осмотре транспортных средств и о внесении изменений в отдельные законодательные акты Российской Федерации".</w:t>
      </w:r>
    </w:p>
    <w:p w:rsidR="003B52E5" w:rsidRDefault="003B52E5">
      <w:pPr>
        <w:pStyle w:val="ConsPlusNormal"/>
        <w:spacing w:before="220"/>
        <w:ind w:firstLine="540"/>
        <w:jc w:val="both"/>
      </w:pPr>
      <w:bookmarkStart w:id="4" w:name="P108"/>
      <w:bookmarkEnd w:id="4"/>
      <w:r>
        <w:t xml:space="preserve">22. Решение руководителя (заместителя руководителя) органа государственного контроля о приостановлении доступа оператора технического осмотра к системе технического осмотра может быть обжаловано в орган государственного контроля в порядке, предусмотренном </w:t>
      </w:r>
      <w:hyperlink w:anchor="P110">
        <w:r>
          <w:rPr>
            <w:color w:val="0000FF"/>
          </w:rPr>
          <w:t>пунктами 23</w:t>
        </w:r>
      </w:hyperlink>
      <w:r>
        <w:t xml:space="preserve"> - </w:t>
      </w:r>
      <w:hyperlink w:anchor="P125">
        <w:r>
          <w:rPr>
            <w:color w:val="0000FF"/>
          </w:rPr>
          <w:t>28</w:t>
        </w:r>
      </w:hyperlink>
      <w:r>
        <w:t xml:space="preserve"> настоящих Правил, или в суд.</w:t>
      </w:r>
    </w:p>
    <w:p w:rsidR="003B52E5" w:rsidRDefault="003B52E5">
      <w:pPr>
        <w:pStyle w:val="ConsPlusNormal"/>
        <w:jc w:val="both"/>
      </w:pPr>
      <w:r>
        <w:t xml:space="preserve">(п. 22 </w:t>
      </w:r>
      <w:proofErr w:type="gramStart"/>
      <w:r>
        <w:t>введен</w:t>
      </w:r>
      <w:proofErr w:type="gramEnd"/>
      <w:r>
        <w:t xml:space="preserve">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spacing w:before="220"/>
        <w:ind w:firstLine="540"/>
        <w:jc w:val="both"/>
      </w:pPr>
      <w:bookmarkStart w:id="5" w:name="P110"/>
      <w:bookmarkEnd w:id="5"/>
      <w:r>
        <w:t>23. В случае обжалования в досудебном порядке решения руководителя (заместителя руководителя) органа государственного контроля о приостановлении доступа оператора технического осмотра к системе технического осмотра жалоба на такое решение (далее - жалоба) подлежит рассмотрению вышестоящим органом государственного контроля.</w:t>
      </w:r>
    </w:p>
    <w:p w:rsidR="003B52E5" w:rsidRDefault="003B52E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24. </w:t>
      </w:r>
      <w:proofErr w:type="gramStart"/>
      <w:r>
        <w:t>Жалоба подается оператором технического осмотра в электронном виде с использованием официального сайта оператора системы технического осмотра в сети "Интернет" и подписывается усиленной квалифицированной электронной подписью руководителя постоянно действующего исполнительного органа оператора технического осмотра - юридического лица или иного лица, имеющего право действовать от имени этого юридического лица без доверенности, либо оператора технического осмотра - индивидуального предпринимателя.</w:t>
      </w:r>
      <w:proofErr w:type="gramEnd"/>
    </w:p>
    <w:p w:rsidR="003B52E5" w:rsidRDefault="003B52E5">
      <w:pPr>
        <w:pStyle w:val="ConsPlusNormal"/>
        <w:spacing w:before="220"/>
        <w:ind w:firstLine="540"/>
        <w:jc w:val="both"/>
      </w:pPr>
      <w:proofErr w:type="gramStart"/>
      <w:r>
        <w:t>Жалоба, поданная физическим лицом, действующим от имени оператора технического осмотра на основании доверенности, подписывается усиленной квалифицированной электронной подписью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  <w:proofErr w:type="gramEnd"/>
    </w:p>
    <w:p w:rsidR="003B52E5" w:rsidRDefault="003B52E5">
      <w:pPr>
        <w:pStyle w:val="ConsPlusNormal"/>
        <w:jc w:val="both"/>
      </w:pPr>
      <w:r>
        <w:t xml:space="preserve">(п. 24 </w:t>
      </w:r>
      <w:proofErr w:type="gramStart"/>
      <w:r>
        <w:t>введен</w:t>
      </w:r>
      <w:proofErr w:type="gramEnd"/>
      <w:r>
        <w:t xml:space="preserve">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 xml:space="preserve">25. Жалоба может быть подана в течение 20 календарных дней со дня получения оператором технического осмотра информации в соответствии с </w:t>
      </w:r>
      <w:hyperlink w:anchor="P96">
        <w:r>
          <w:rPr>
            <w:color w:val="0000FF"/>
          </w:rPr>
          <w:t>абзацем четвертым пункта 17</w:t>
        </w:r>
      </w:hyperlink>
      <w:r>
        <w:t xml:space="preserve"> настоящего Положения. В случае пропуска по уважительной причине указанного срока подачи жалобы этот срок по ходатайству оператора технического осмотра, от имени которого подается жалоба, может быть восстановлен органом государственного контроля.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3B52E5" w:rsidRDefault="003B52E5">
      <w:pPr>
        <w:pStyle w:val="ConsPlusNormal"/>
        <w:jc w:val="both"/>
      </w:pPr>
      <w:r>
        <w:t xml:space="preserve">(п. 25 </w:t>
      </w:r>
      <w:proofErr w:type="gramStart"/>
      <w:r>
        <w:t>введен</w:t>
      </w:r>
      <w:proofErr w:type="gramEnd"/>
      <w:r>
        <w:t xml:space="preserve">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26. Жалоба подлежит рассмотрению уполномоченным на рассмотрение жалобы должностным лицом органа государственного контроля в течение 15 рабочих дней со дня ее регистрации органом государственного контроля.</w:t>
      </w:r>
    </w:p>
    <w:p w:rsidR="003B52E5" w:rsidRDefault="003B52E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26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spacing w:before="220"/>
        <w:ind w:firstLine="540"/>
        <w:jc w:val="both"/>
      </w:pPr>
      <w:bookmarkStart w:id="6" w:name="P120"/>
      <w:bookmarkEnd w:id="6"/>
      <w:r>
        <w:t>27. По итогам рассмотрения жалобы орган государственного контроля принимает одно из следующих решений: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оставляет жалобу без удовлетворения;</w:t>
      </w:r>
    </w:p>
    <w:p w:rsidR="003B52E5" w:rsidRDefault="003B52E5">
      <w:pPr>
        <w:pStyle w:val="ConsPlusNormal"/>
        <w:spacing w:before="220"/>
        <w:ind w:firstLine="540"/>
        <w:jc w:val="both"/>
      </w:pPr>
      <w:bookmarkStart w:id="7" w:name="P122"/>
      <w:bookmarkEnd w:id="7"/>
      <w:r>
        <w:lastRenderedPageBreak/>
        <w:t>отменяет обжалуемое решение руководителя (заместителя руководителя) органа государственного контроля.</w:t>
      </w:r>
    </w:p>
    <w:p w:rsidR="003B52E5" w:rsidRDefault="003B52E5">
      <w:pPr>
        <w:pStyle w:val="ConsPlusNormal"/>
        <w:spacing w:before="220"/>
        <w:ind w:firstLine="540"/>
        <w:jc w:val="both"/>
      </w:pPr>
      <w:r>
        <w:t>При несогласии с указанными решениями решение руководителя (заместителя руководителя) органа государственного контроля о приостановлении доступа оператора технического осмотра к системе технического осмотра может быть обжаловано в судебном порядке.</w:t>
      </w:r>
    </w:p>
    <w:p w:rsidR="003B52E5" w:rsidRDefault="003B52E5">
      <w:pPr>
        <w:pStyle w:val="ConsPlusNormal"/>
        <w:jc w:val="both"/>
      </w:pPr>
      <w:r>
        <w:t xml:space="preserve">(п. 27 </w:t>
      </w:r>
      <w:proofErr w:type="gramStart"/>
      <w:r>
        <w:t>введен</w:t>
      </w:r>
      <w:proofErr w:type="gramEnd"/>
      <w:r>
        <w:t xml:space="preserve">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spacing w:before="220"/>
        <w:ind w:firstLine="540"/>
        <w:jc w:val="both"/>
      </w:pPr>
      <w:bookmarkStart w:id="8" w:name="P125"/>
      <w:bookmarkEnd w:id="8"/>
      <w:r>
        <w:t xml:space="preserve">28. </w:t>
      </w:r>
      <w:proofErr w:type="gramStart"/>
      <w:r>
        <w:t xml:space="preserve">Уведомление о принятом в соответствии с </w:t>
      </w:r>
      <w:hyperlink w:anchor="P120">
        <w:r>
          <w:rPr>
            <w:color w:val="0000FF"/>
          </w:rPr>
          <w:t>пунктом 27</w:t>
        </w:r>
      </w:hyperlink>
      <w:r>
        <w:t xml:space="preserve"> настоящего Положения решении, содержащее обоснование этого решения, срок и порядок его исполнения, направляется на адрес электронной почты или официальный сайт оператора технического осмотра в сети "Интернет", указанные в реестре операторов технического осмотра, в срок не позднее одного рабочего дня со дня его принятия.</w:t>
      </w:r>
      <w:proofErr w:type="gramEnd"/>
    </w:p>
    <w:p w:rsidR="003B52E5" w:rsidRDefault="003B52E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02.06.2026 N 678)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right"/>
        <w:outlineLvl w:val="1"/>
      </w:pPr>
      <w:r>
        <w:t>Приложение</w:t>
      </w:r>
    </w:p>
    <w:p w:rsidR="003B52E5" w:rsidRDefault="003B52E5">
      <w:pPr>
        <w:pStyle w:val="ConsPlusNormal"/>
        <w:jc w:val="right"/>
      </w:pPr>
      <w:r>
        <w:t xml:space="preserve">к Положению о ведении </w:t>
      </w:r>
      <w:proofErr w:type="gramStart"/>
      <w:r>
        <w:t>единой</w:t>
      </w:r>
      <w:proofErr w:type="gramEnd"/>
    </w:p>
    <w:p w:rsidR="003B52E5" w:rsidRDefault="003B52E5">
      <w:pPr>
        <w:pStyle w:val="ConsPlusNormal"/>
        <w:jc w:val="right"/>
      </w:pPr>
      <w:r>
        <w:t>автоматизированной информационной системы</w:t>
      </w:r>
    </w:p>
    <w:p w:rsidR="003B52E5" w:rsidRDefault="003B52E5">
      <w:pPr>
        <w:pStyle w:val="ConsPlusNormal"/>
        <w:jc w:val="right"/>
      </w:pPr>
      <w:r>
        <w:t>технического осмотра и об организации</w:t>
      </w:r>
    </w:p>
    <w:p w:rsidR="003B52E5" w:rsidRDefault="003B52E5">
      <w:pPr>
        <w:pStyle w:val="ConsPlusNormal"/>
        <w:jc w:val="right"/>
      </w:pPr>
      <w:r>
        <w:t>взаимодействия при ее использовании</w:t>
      </w: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right"/>
      </w:pPr>
      <w:r>
        <w:t>(форма)</w:t>
      </w:r>
    </w:p>
    <w:p w:rsidR="003B52E5" w:rsidRDefault="003B52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134"/>
        <w:gridCol w:w="345"/>
        <w:gridCol w:w="390"/>
        <w:gridCol w:w="404"/>
        <w:gridCol w:w="405"/>
        <w:gridCol w:w="136"/>
        <w:gridCol w:w="164"/>
        <w:gridCol w:w="284"/>
        <w:gridCol w:w="449"/>
        <w:gridCol w:w="180"/>
        <w:gridCol w:w="1884"/>
        <w:gridCol w:w="340"/>
      </w:tblGrid>
      <w:tr w:rsidR="003B52E5">
        <w:tc>
          <w:tcPr>
            <w:tcW w:w="908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B52E5" w:rsidRDefault="003B52E5">
            <w:pPr>
              <w:pStyle w:val="ConsPlusNormal"/>
              <w:jc w:val="center"/>
            </w:pPr>
            <w:bookmarkStart w:id="9" w:name="P140"/>
            <w:bookmarkEnd w:id="9"/>
            <w:r>
              <w:t>СВЕДЕНИЯ,</w:t>
            </w:r>
          </w:p>
          <w:p w:rsidR="003B52E5" w:rsidRDefault="003B52E5">
            <w:pPr>
              <w:pStyle w:val="ConsPlusNormal"/>
              <w:jc w:val="center"/>
            </w:pPr>
            <w:proofErr w:type="gramStart"/>
            <w:r>
              <w:t>содержащиеся</w:t>
            </w:r>
            <w:proofErr w:type="gramEnd"/>
            <w:r>
              <w:t xml:space="preserve"> в единой автоматизированной информационной системе технического осмотра</w:t>
            </w:r>
          </w:p>
        </w:tc>
      </w:tr>
      <w:tr w:rsidR="003B52E5">
        <w:tc>
          <w:tcPr>
            <w:tcW w:w="908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908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  <w:jc w:val="center"/>
            </w:pPr>
            <w:r>
              <w:t>По состоянию на __ ______ 20__ г. ____:____</w:t>
            </w:r>
          </w:p>
        </w:tc>
      </w:tr>
      <w:tr w:rsidR="003B52E5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B52E5" w:rsidRDefault="003B52E5">
            <w:pPr>
              <w:pStyle w:val="ConsPlusNormal"/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B52E5" w:rsidRDefault="003B52E5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B52E5" w:rsidRDefault="003B52E5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2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4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52E5" w:rsidRDefault="003B52E5">
            <w:pPr>
              <w:pStyle w:val="ConsPlusNormal"/>
            </w:pPr>
            <w:r>
              <w:t>Марка и модель транспортного средства</w:t>
            </w:r>
          </w:p>
        </w:tc>
        <w:tc>
          <w:tcPr>
            <w:tcW w:w="463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623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</w:pPr>
            <w:r>
              <w:t>Идентификационный номер транспортного средства (VIN)</w:t>
            </w:r>
          </w:p>
        </w:tc>
        <w:tc>
          <w:tcPr>
            <w:tcW w:w="28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4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</w:pPr>
            <w:r>
              <w:t>Номер кузова транспортного средства</w:t>
            </w:r>
          </w:p>
        </w:tc>
        <w:tc>
          <w:tcPr>
            <w:tcW w:w="49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48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</w:pPr>
            <w:r>
              <w:t>Номер шасси (рамы) транспортного средства</w:t>
            </w:r>
          </w:p>
        </w:tc>
        <w:tc>
          <w:tcPr>
            <w:tcW w:w="424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48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</w:pPr>
            <w:r>
              <w:t>Показания одометра транспортного средства</w:t>
            </w:r>
          </w:p>
        </w:tc>
        <w:tc>
          <w:tcPr>
            <w:tcW w:w="424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52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</w:pPr>
            <w:r>
              <w:t>Регистрационный номер диагностической карты</w:t>
            </w:r>
          </w:p>
        </w:tc>
        <w:tc>
          <w:tcPr>
            <w:tcW w:w="384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41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</w:pPr>
            <w:r>
              <w:t>Срок действия диагностической карты</w:t>
            </w:r>
          </w:p>
        </w:tc>
        <w:tc>
          <w:tcPr>
            <w:tcW w:w="49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874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  <w:jc w:val="both"/>
            </w:pPr>
            <w:r>
              <w:t>Заключение о возможности (невозможности) эксплуатации транспортного средства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908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blPrEx>
          <w:tblBorders>
            <w:insideH w:val="single" w:sz="4" w:space="0" w:color="auto"/>
          </w:tblBorders>
        </w:tblPrEx>
        <w:tc>
          <w:tcPr>
            <w:tcW w:w="66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</w:pPr>
            <w:r>
              <w:lastRenderedPageBreak/>
              <w:t>Дата проведения технического осмотра транспортного средства</w:t>
            </w:r>
          </w:p>
        </w:tc>
        <w:tc>
          <w:tcPr>
            <w:tcW w:w="24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594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</w:pPr>
            <w:r>
              <w:t>Оператор технического осмотра транспортного средства</w:t>
            </w:r>
          </w:p>
        </w:tc>
        <w:tc>
          <w:tcPr>
            <w:tcW w:w="31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  <w:tr w:rsidR="003B52E5">
        <w:tc>
          <w:tcPr>
            <w:tcW w:w="56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52E5" w:rsidRDefault="003B52E5">
            <w:pPr>
              <w:pStyle w:val="ConsPlusNormal"/>
            </w:pPr>
            <w:r>
              <w:t>Пункт технического осмотра транспортного средства</w:t>
            </w:r>
          </w:p>
        </w:tc>
        <w:tc>
          <w:tcPr>
            <w:tcW w:w="343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2E5" w:rsidRDefault="003B52E5">
            <w:pPr>
              <w:pStyle w:val="ConsPlusNormal"/>
            </w:pPr>
          </w:p>
        </w:tc>
      </w:tr>
    </w:tbl>
    <w:p w:rsidR="003B52E5" w:rsidRDefault="003B52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0"/>
        <w:gridCol w:w="3053"/>
        <w:gridCol w:w="2266"/>
        <w:gridCol w:w="1814"/>
      </w:tblGrid>
      <w:tr w:rsidR="003B52E5">
        <w:tc>
          <w:tcPr>
            <w:tcW w:w="9053" w:type="dxa"/>
            <w:gridSpan w:val="4"/>
          </w:tcPr>
          <w:p w:rsidR="003B52E5" w:rsidRDefault="003B52E5">
            <w:pPr>
              <w:pStyle w:val="ConsPlusNormal"/>
              <w:jc w:val="center"/>
            </w:pPr>
            <w:r>
              <w:t>История проведения технического осмотра транспортного средства</w:t>
            </w:r>
          </w:p>
        </w:tc>
      </w:tr>
      <w:tr w:rsidR="003B52E5">
        <w:tc>
          <w:tcPr>
            <w:tcW w:w="1920" w:type="dxa"/>
          </w:tcPr>
          <w:p w:rsidR="003B52E5" w:rsidRDefault="003B52E5">
            <w:pPr>
              <w:pStyle w:val="ConsPlusNormal"/>
              <w:jc w:val="center"/>
            </w:pPr>
            <w:r>
              <w:t>Дата проведения</w:t>
            </w:r>
          </w:p>
        </w:tc>
        <w:tc>
          <w:tcPr>
            <w:tcW w:w="3053" w:type="dxa"/>
          </w:tcPr>
          <w:p w:rsidR="003B52E5" w:rsidRDefault="003B52E5">
            <w:pPr>
              <w:pStyle w:val="ConsPlusNormal"/>
              <w:jc w:val="center"/>
            </w:pPr>
            <w:r>
              <w:t>Регистрационный номер диагностической карты</w:t>
            </w:r>
          </w:p>
        </w:tc>
        <w:tc>
          <w:tcPr>
            <w:tcW w:w="2266" w:type="dxa"/>
          </w:tcPr>
          <w:p w:rsidR="003B52E5" w:rsidRDefault="003B52E5">
            <w:pPr>
              <w:pStyle w:val="ConsPlusNormal"/>
              <w:jc w:val="center"/>
            </w:pPr>
            <w:r>
              <w:t>Срок действия диагностической карты</w:t>
            </w:r>
          </w:p>
        </w:tc>
        <w:tc>
          <w:tcPr>
            <w:tcW w:w="1814" w:type="dxa"/>
          </w:tcPr>
          <w:p w:rsidR="003B52E5" w:rsidRDefault="003B52E5">
            <w:pPr>
              <w:pStyle w:val="ConsPlusNormal"/>
              <w:jc w:val="center"/>
            </w:pPr>
            <w:r>
              <w:t>Показания одометра</w:t>
            </w:r>
          </w:p>
        </w:tc>
      </w:tr>
      <w:tr w:rsidR="003B52E5">
        <w:tc>
          <w:tcPr>
            <w:tcW w:w="1920" w:type="dxa"/>
          </w:tcPr>
          <w:p w:rsidR="003B52E5" w:rsidRDefault="003B52E5">
            <w:pPr>
              <w:pStyle w:val="ConsPlusNormal"/>
            </w:pPr>
          </w:p>
        </w:tc>
        <w:tc>
          <w:tcPr>
            <w:tcW w:w="3053" w:type="dxa"/>
          </w:tcPr>
          <w:p w:rsidR="003B52E5" w:rsidRDefault="003B52E5">
            <w:pPr>
              <w:pStyle w:val="ConsPlusNormal"/>
            </w:pPr>
          </w:p>
        </w:tc>
        <w:tc>
          <w:tcPr>
            <w:tcW w:w="2266" w:type="dxa"/>
          </w:tcPr>
          <w:p w:rsidR="003B52E5" w:rsidRDefault="003B52E5">
            <w:pPr>
              <w:pStyle w:val="ConsPlusNormal"/>
            </w:pPr>
          </w:p>
        </w:tc>
        <w:tc>
          <w:tcPr>
            <w:tcW w:w="1814" w:type="dxa"/>
          </w:tcPr>
          <w:p w:rsidR="003B52E5" w:rsidRDefault="003B52E5">
            <w:pPr>
              <w:pStyle w:val="ConsPlusNormal"/>
            </w:pPr>
          </w:p>
        </w:tc>
      </w:tr>
    </w:tbl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jc w:val="both"/>
      </w:pPr>
    </w:p>
    <w:p w:rsidR="003B52E5" w:rsidRDefault="003B52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74A9" w:rsidRDefault="003D74A9"/>
    <w:sectPr w:rsidR="003D74A9" w:rsidSect="005B5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2E5"/>
    <w:rsid w:val="003B52E5"/>
    <w:rsid w:val="003D74A9"/>
    <w:rsid w:val="007C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5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52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5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5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52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125&amp;dst=105" TargetMode="External"/><Relationship Id="rId13" Type="http://schemas.openxmlformats.org/officeDocument/2006/relationships/hyperlink" Target="https://login.consultant.ru/link/?req=doc&amp;base=LAW&amp;n=484247&amp;dst=100017" TargetMode="External"/><Relationship Id="rId18" Type="http://schemas.openxmlformats.org/officeDocument/2006/relationships/hyperlink" Target="https://login.consultant.ru/link/?req=doc&amp;base=LAW&amp;n=541125&amp;dst=100" TargetMode="External"/><Relationship Id="rId26" Type="http://schemas.openxmlformats.org/officeDocument/2006/relationships/hyperlink" Target="https://login.consultant.ru/link/?req=doc&amp;base=LAW&amp;n=484247&amp;dst=100023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36607&amp;dst=1739" TargetMode="External"/><Relationship Id="rId34" Type="http://schemas.openxmlformats.org/officeDocument/2006/relationships/hyperlink" Target="https://login.consultant.ru/link/?req=doc&amp;base=LAW&amp;n=535842&amp;dst=100029" TargetMode="External"/><Relationship Id="rId7" Type="http://schemas.openxmlformats.org/officeDocument/2006/relationships/hyperlink" Target="https://login.consultant.ru/link/?req=doc&amp;base=LAW&amp;n=541125&amp;dst=104" TargetMode="External"/><Relationship Id="rId12" Type="http://schemas.openxmlformats.org/officeDocument/2006/relationships/hyperlink" Target="https://login.consultant.ru/link/?req=doc&amp;base=LAW&amp;n=535842&amp;dst=100014" TargetMode="External"/><Relationship Id="rId17" Type="http://schemas.openxmlformats.org/officeDocument/2006/relationships/hyperlink" Target="https://login.consultant.ru/link/?req=doc&amp;base=LAW&amp;n=541125&amp;dst=98" TargetMode="External"/><Relationship Id="rId25" Type="http://schemas.openxmlformats.org/officeDocument/2006/relationships/hyperlink" Target="https://login.consultant.ru/link/?req=doc&amp;base=LAW&amp;n=535842&amp;dst=100020" TargetMode="External"/><Relationship Id="rId33" Type="http://schemas.openxmlformats.org/officeDocument/2006/relationships/hyperlink" Target="https://login.consultant.ru/link/?req=doc&amp;base=LAW&amp;n=535842&amp;dst=100028" TargetMode="External"/><Relationship Id="rId38" Type="http://schemas.openxmlformats.org/officeDocument/2006/relationships/hyperlink" Target="https://login.consultant.ru/link/?req=doc&amp;base=LAW&amp;n=535842&amp;dst=10003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41125&amp;dst=100123" TargetMode="External"/><Relationship Id="rId20" Type="http://schemas.openxmlformats.org/officeDocument/2006/relationships/hyperlink" Target="https://login.consultant.ru/link/?req=doc&amp;base=LAW&amp;n=541125&amp;dst=82" TargetMode="External"/><Relationship Id="rId29" Type="http://schemas.openxmlformats.org/officeDocument/2006/relationships/hyperlink" Target="https://login.consultant.ru/link/?req=doc&amp;base=LAW&amp;n=535842&amp;dst=10002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5842&amp;dst=100014" TargetMode="External"/><Relationship Id="rId11" Type="http://schemas.openxmlformats.org/officeDocument/2006/relationships/hyperlink" Target="https://login.consultant.ru/link/?req=doc&amp;base=LAW&amp;n=484247&amp;dst=100007" TargetMode="External"/><Relationship Id="rId24" Type="http://schemas.openxmlformats.org/officeDocument/2006/relationships/hyperlink" Target="https://login.consultant.ru/link/?req=doc&amp;base=LAW&amp;n=535842&amp;dst=100016" TargetMode="External"/><Relationship Id="rId32" Type="http://schemas.openxmlformats.org/officeDocument/2006/relationships/hyperlink" Target="https://login.consultant.ru/link/?req=doc&amp;base=LAW&amp;n=535842&amp;dst=100026" TargetMode="External"/><Relationship Id="rId37" Type="http://schemas.openxmlformats.org/officeDocument/2006/relationships/hyperlink" Target="https://login.consultant.ru/link/?req=doc&amp;base=LAW&amp;n=535842&amp;dst=100034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4247&amp;dst=100007" TargetMode="External"/><Relationship Id="rId15" Type="http://schemas.openxmlformats.org/officeDocument/2006/relationships/hyperlink" Target="https://login.consultant.ru/link/?req=doc&amp;base=LAW&amp;n=541125&amp;dst=100114" TargetMode="External"/><Relationship Id="rId23" Type="http://schemas.openxmlformats.org/officeDocument/2006/relationships/hyperlink" Target="https://login.consultant.ru/link/?req=doc&amp;base=LAW&amp;n=484247&amp;dst=100021" TargetMode="External"/><Relationship Id="rId28" Type="http://schemas.openxmlformats.org/officeDocument/2006/relationships/hyperlink" Target="https://login.consultant.ru/link/?req=doc&amp;base=LAW&amp;n=535842&amp;dst=100023" TargetMode="External"/><Relationship Id="rId36" Type="http://schemas.openxmlformats.org/officeDocument/2006/relationships/hyperlink" Target="https://login.consultant.ru/link/?req=doc&amp;base=LAW&amp;n=535842&amp;dst=100033" TargetMode="External"/><Relationship Id="rId10" Type="http://schemas.openxmlformats.org/officeDocument/2006/relationships/hyperlink" Target="https://login.consultant.ru/link/?req=doc&amp;base=LAW&amp;n=349201" TargetMode="External"/><Relationship Id="rId19" Type="http://schemas.openxmlformats.org/officeDocument/2006/relationships/hyperlink" Target="https://login.consultant.ru/link/?req=doc&amp;base=LAW&amp;n=541125&amp;dst=101" TargetMode="External"/><Relationship Id="rId31" Type="http://schemas.openxmlformats.org/officeDocument/2006/relationships/hyperlink" Target="https://login.consultant.ru/link/?req=doc&amp;base=LAW&amp;n=541125&amp;dst=1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1125&amp;dst=106" TargetMode="External"/><Relationship Id="rId14" Type="http://schemas.openxmlformats.org/officeDocument/2006/relationships/hyperlink" Target="https://login.consultant.ru/link/?req=doc&amp;base=LAW&amp;n=535842&amp;dst=100015" TargetMode="External"/><Relationship Id="rId22" Type="http://schemas.openxmlformats.org/officeDocument/2006/relationships/hyperlink" Target="https://login.consultant.ru/link/?req=doc&amp;base=LAW&amp;n=484247&amp;dst=100019" TargetMode="External"/><Relationship Id="rId27" Type="http://schemas.openxmlformats.org/officeDocument/2006/relationships/hyperlink" Target="https://login.consultant.ru/link/?req=doc&amp;base=LAW&amp;n=541125&amp;dst=106" TargetMode="External"/><Relationship Id="rId30" Type="http://schemas.openxmlformats.org/officeDocument/2006/relationships/hyperlink" Target="https://login.consultant.ru/link/?req=doc&amp;base=LAW&amp;n=484247&amp;dst=100024" TargetMode="External"/><Relationship Id="rId35" Type="http://schemas.openxmlformats.org/officeDocument/2006/relationships/hyperlink" Target="https://login.consultant.ru/link/?req=doc&amp;base=LAW&amp;n=535842&amp;dst=100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3460</Words>
  <Characters>19724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Шелест Анастасия Леонидовна</dc:creator>
  <cp:lastModifiedBy>CTM</cp:lastModifiedBy>
  <cp:revision>2</cp:revision>
  <dcterms:created xsi:type="dcterms:W3CDTF">2026-10-15T09:40:00Z</dcterms:created>
  <dcterms:modified xsi:type="dcterms:W3CDTF">2026-10-15T09:40:00Z</dcterms:modified>
</cp:coreProperties>
</file>